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2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2627"/>
        <w:gridCol w:w="993"/>
        <w:gridCol w:w="992"/>
        <w:gridCol w:w="1276"/>
        <w:gridCol w:w="1276"/>
        <w:gridCol w:w="1418"/>
      </w:tblGrid>
      <w:tr w:rsidR="006402F7" w14:paraId="451A651A" w14:textId="77777777">
        <w:tblPrEx>
          <w:tblCellMar>
            <w:top w:w="0" w:type="dxa"/>
            <w:bottom w:w="0" w:type="dxa"/>
          </w:tblCellMar>
        </w:tblPrEx>
        <w:trPr>
          <w:trHeight w:val="270"/>
          <w:jc w:val="center"/>
        </w:trPr>
        <w:tc>
          <w:tcPr>
            <w:tcW w:w="106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DEF19" w14:textId="77777777" w:rsidR="006402F7" w:rsidRDefault="00000000">
            <w:pPr>
              <w:pStyle w:val="Standard"/>
            </w:pPr>
            <w:r>
              <w:rPr>
                <w:b/>
                <w:bCs/>
                <w:iCs/>
              </w:rPr>
              <w:t>Program</w:t>
            </w:r>
          </w:p>
        </w:tc>
      </w:tr>
      <w:tr w:rsidR="006402F7" w14:paraId="1E679794" w14:textId="77777777">
        <w:tblPrEx>
          <w:tblCellMar>
            <w:top w:w="0" w:type="dxa"/>
            <w:bottom w:w="0" w:type="dxa"/>
          </w:tblCellMar>
        </w:tblPrEx>
        <w:trPr>
          <w:trHeight w:val="724"/>
          <w:jc w:val="center"/>
        </w:trPr>
        <w:tc>
          <w:tcPr>
            <w:tcW w:w="106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57A2D" w14:textId="77777777" w:rsidR="006402F7" w:rsidRDefault="00000000">
            <w:pPr>
              <w:pStyle w:val="Standard"/>
              <w:jc w:val="both"/>
            </w:pPr>
            <w:r>
              <w:rPr>
                <w:sz w:val="20"/>
                <w:szCs w:val="20"/>
                <w:u w:val="single"/>
              </w:rPr>
              <w:t>Zakonske i druge pravne osnove programa:</w:t>
            </w:r>
          </w:p>
          <w:p w14:paraId="074CE120" w14:textId="77777777" w:rsidR="006402F7" w:rsidRDefault="00000000">
            <w:pPr>
              <w:pStyle w:val="Standard"/>
              <w:jc w:val="both"/>
            </w:pPr>
            <w:r>
              <w:rPr>
                <w:sz w:val="20"/>
                <w:szCs w:val="20"/>
              </w:rPr>
              <w:t>Poslovanje Gradske Knjižnice Makarska temelji se na zakonima i drugim propisima kojima se uređuje područje djelovanja ustanova u kulturi, a među osnovnima su:</w:t>
            </w:r>
          </w:p>
          <w:p w14:paraId="2B6534C2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 o ustanovama (</w:t>
            </w:r>
            <w:hyperlink r:id="rId7" w:history="1">
              <w:r>
                <w:rPr>
                  <w:sz w:val="20"/>
                  <w:szCs w:val="20"/>
                </w:rPr>
                <w:t>NN 76/93</w:t>
              </w:r>
            </w:hyperlink>
            <w:r>
              <w:rPr>
                <w:sz w:val="20"/>
                <w:szCs w:val="20"/>
              </w:rPr>
              <w:t>; </w:t>
            </w:r>
            <w:hyperlink r:id="rId8" w:history="1">
              <w:r>
                <w:rPr>
                  <w:sz w:val="20"/>
                  <w:szCs w:val="20"/>
                </w:rPr>
                <w:t>NN 29/97</w:t>
              </w:r>
            </w:hyperlink>
            <w:r>
              <w:rPr>
                <w:sz w:val="20"/>
                <w:szCs w:val="20"/>
              </w:rPr>
              <w:t>, </w:t>
            </w:r>
            <w:hyperlink r:id="rId9" w:history="1">
              <w:r>
                <w:rPr>
                  <w:sz w:val="20"/>
                  <w:szCs w:val="20"/>
                </w:rPr>
                <w:t>NN 47/99 </w:t>
              </w:r>
            </w:hyperlink>
            <w:r>
              <w:rPr>
                <w:sz w:val="20"/>
                <w:szCs w:val="20"/>
              </w:rPr>
              <w:t>- Ispravak i </w:t>
            </w:r>
            <w:hyperlink r:id="rId10" w:history="1">
              <w:r>
                <w:rPr>
                  <w:sz w:val="20"/>
                  <w:szCs w:val="20"/>
                </w:rPr>
                <w:t>NN 35/08</w:t>
              </w:r>
            </w:hyperlink>
            <w:r>
              <w:rPr>
                <w:sz w:val="20"/>
                <w:szCs w:val="20"/>
              </w:rPr>
              <w:t>, NN </w:t>
            </w:r>
            <w:hyperlink r:id="rId11" w:history="1">
              <w:r>
                <w:rPr>
                  <w:sz w:val="20"/>
                  <w:szCs w:val="20"/>
                </w:rPr>
                <w:t>127/19</w:t>
              </w:r>
            </w:hyperlink>
            <w:r>
              <w:rPr>
                <w:sz w:val="20"/>
                <w:szCs w:val="20"/>
              </w:rPr>
              <w:t>, </w:t>
            </w:r>
            <w:hyperlink r:id="rId12" w:history="1">
              <w:r>
                <w:rPr>
                  <w:sz w:val="20"/>
                  <w:szCs w:val="20"/>
                </w:rPr>
                <w:t>151/22)</w:t>
              </w:r>
            </w:hyperlink>
          </w:p>
          <w:p w14:paraId="64A5CFCA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 o upravljanju javnim ustanovama u kulturi (NN </w:t>
            </w:r>
            <w:hyperlink r:id="rId13" w:history="1">
              <w:r>
                <w:rPr>
                  <w:sz w:val="20"/>
                  <w:szCs w:val="20"/>
                </w:rPr>
                <w:t>96/01</w:t>
              </w:r>
            </w:hyperlink>
            <w:r>
              <w:rPr>
                <w:sz w:val="20"/>
                <w:szCs w:val="20"/>
              </w:rPr>
              <w:t>, </w:t>
            </w:r>
            <w:hyperlink r:id="rId14" w:history="1">
              <w:r>
                <w:rPr>
                  <w:sz w:val="20"/>
                  <w:szCs w:val="20"/>
                </w:rPr>
                <w:t>98/19</w:t>
              </w:r>
            </w:hyperlink>
            <w:r>
              <w:rPr>
                <w:sz w:val="20"/>
                <w:szCs w:val="20"/>
              </w:rPr>
              <w:t>)</w:t>
            </w:r>
          </w:p>
          <w:p w14:paraId="48216601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 o knjižnicama i knjižničnoj djelatnosti (NN </w:t>
            </w:r>
            <w:hyperlink r:id="rId15" w:history="1">
              <w:r>
                <w:rPr>
                  <w:sz w:val="20"/>
                  <w:szCs w:val="20"/>
                </w:rPr>
                <w:t>17/19</w:t>
              </w:r>
            </w:hyperlink>
            <w:r>
              <w:rPr>
                <w:sz w:val="20"/>
                <w:szCs w:val="20"/>
              </w:rPr>
              <w:t xml:space="preserve">, </w:t>
            </w:r>
            <w:hyperlink r:id="rId16" w:history="1">
              <w:r>
                <w:rPr>
                  <w:sz w:val="20"/>
                  <w:szCs w:val="20"/>
                </w:rPr>
                <w:t>98/19</w:t>
              </w:r>
            </w:hyperlink>
            <w:r>
              <w:rPr>
                <w:sz w:val="20"/>
                <w:szCs w:val="20"/>
              </w:rPr>
              <w:t>, 114/22, 36/24)</w:t>
            </w:r>
          </w:p>
          <w:p w14:paraId="4453043D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 o financiranju javnih potreba u kulturi (</w:t>
            </w:r>
            <w:hyperlink r:id="rId17" w:history="1">
              <w:r>
                <w:rPr>
                  <w:sz w:val="20"/>
                  <w:szCs w:val="20"/>
                </w:rPr>
                <w:t>NN 47/90 </w:t>
              </w:r>
            </w:hyperlink>
            <w:r>
              <w:rPr>
                <w:sz w:val="20"/>
                <w:szCs w:val="20"/>
              </w:rPr>
              <w:t> ,</w:t>
            </w:r>
            <w:hyperlink r:id="rId18" w:history="1">
              <w:r>
                <w:rPr>
                  <w:sz w:val="20"/>
                  <w:szCs w:val="20"/>
                </w:rPr>
                <w:t>NN 27/93</w:t>
              </w:r>
            </w:hyperlink>
            <w:r>
              <w:rPr>
                <w:sz w:val="20"/>
                <w:szCs w:val="20"/>
              </w:rPr>
              <w:t>, </w:t>
            </w:r>
            <w:hyperlink r:id="rId19" w:history="1">
              <w:r>
                <w:rPr>
                  <w:sz w:val="20"/>
                  <w:szCs w:val="20"/>
                </w:rPr>
                <w:t>NN 38/09</w:t>
              </w:r>
            </w:hyperlink>
            <w:r>
              <w:rPr>
                <w:sz w:val="20"/>
                <w:szCs w:val="20"/>
              </w:rPr>
              <w:t>)</w:t>
            </w:r>
          </w:p>
          <w:p w14:paraId="3FD663C3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Zakonu o proračunu (NN br. 144/21)</w:t>
            </w:r>
          </w:p>
          <w:p w14:paraId="1EBE143F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Zakonu o fiskalnoj odgovornosti (111/18, 83/23)</w:t>
            </w:r>
          </w:p>
          <w:p w14:paraId="7D1B77A5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Zakonu o radu (NN br. 93/14; 127/17, 98/19, 151/22 i 46/23)</w:t>
            </w:r>
          </w:p>
          <w:p w14:paraId="21C9EF14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Pravilnik o zaštiti knjižnične građe (NN 52/05)</w:t>
            </w:r>
          </w:p>
          <w:p w14:paraId="5AE588BD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Pravilnik o uvjetima i načinu stjecanja stručnih znanja u knjižničarskoj struci  (NN 107/21)</w:t>
            </w:r>
          </w:p>
          <w:p w14:paraId="32BB9686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Pravilnik o načinu korištenja vlastitih prihoda ostvarenih od obavljanja osnovne i ostale djelatnosti ustanova u kulturi (NN 54/19)</w:t>
            </w:r>
          </w:p>
          <w:p w14:paraId="618A60AE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Pravilnik o proračunskom računovodstvu i računskom planu (NN 158/23 i 154/24)</w:t>
            </w:r>
          </w:p>
          <w:p w14:paraId="14ABD06D" w14:textId="77777777" w:rsidR="006402F7" w:rsidRDefault="00000000">
            <w:pPr>
              <w:pStyle w:val="Odlomakpopisa"/>
              <w:widowControl/>
              <w:numPr>
                <w:ilvl w:val="0"/>
                <w:numId w:val="4"/>
              </w:numPr>
              <w:spacing w:after="200"/>
              <w:contextualSpacing/>
              <w:jc w:val="both"/>
            </w:pPr>
            <w:r>
              <w:rPr>
                <w:sz w:val="20"/>
                <w:szCs w:val="20"/>
              </w:rPr>
              <w:t>Pravilnik o financijskom izvještavanju u proračunskom računovodstvu (NN 37/22, 52/25 i 156/25)</w:t>
            </w:r>
          </w:p>
        </w:tc>
      </w:tr>
      <w:tr w:rsidR="006402F7" w14:paraId="4D9B6577" w14:textId="77777777">
        <w:tblPrEx>
          <w:tblCellMar>
            <w:top w:w="0" w:type="dxa"/>
            <w:bottom w:w="0" w:type="dxa"/>
          </w:tblCellMar>
        </w:tblPrEx>
        <w:trPr>
          <w:trHeight w:val="970"/>
          <w:jc w:val="center"/>
        </w:trPr>
        <w:tc>
          <w:tcPr>
            <w:tcW w:w="106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EC22A" w14:textId="77777777" w:rsidR="006402F7" w:rsidRDefault="00000000">
            <w:pPr>
              <w:pStyle w:val="Standard"/>
            </w:pPr>
            <w:r>
              <w:rPr>
                <w:b/>
                <w:bCs/>
                <w:iCs/>
                <w:sz w:val="20"/>
                <w:szCs w:val="20"/>
              </w:rPr>
              <w:t>Razvojna mjera</w:t>
            </w:r>
            <w:r>
              <w:rPr>
                <w:i/>
                <w:sz w:val="20"/>
                <w:szCs w:val="20"/>
              </w:rPr>
              <w:t xml:space="preserve"> (poveznica sa strateškim okvirom Provedbenog programa Grda Makarske)</w:t>
            </w:r>
          </w:p>
          <w:p w14:paraId="27DB7DFB" w14:textId="77777777" w:rsidR="006402F7" w:rsidRDefault="00000000">
            <w:pPr>
              <w:pStyle w:val="Standard"/>
            </w:pPr>
            <w:hyperlink r:id="rId20" w:history="1">
              <w:r>
                <w:rPr>
                  <w:rStyle w:val="Internetlink"/>
                  <w:i/>
                  <w:sz w:val="20"/>
                  <w:szCs w:val="20"/>
                </w:rPr>
                <w:t>https://makarska.hr/strateski-dokumenti</w:t>
              </w:r>
            </w:hyperlink>
          </w:p>
          <w:p w14:paraId="2A7CCCEB" w14:textId="77777777" w:rsidR="006402F7" w:rsidRDefault="006402F7">
            <w:pPr>
              <w:pStyle w:val="Standard"/>
              <w:rPr>
                <w:b/>
                <w:bCs/>
                <w:iCs/>
                <w:sz w:val="20"/>
                <w:szCs w:val="20"/>
              </w:rPr>
            </w:pPr>
          </w:p>
          <w:p w14:paraId="10CE18D5" w14:textId="77777777" w:rsidR="006402F7" w:rsidRDefault="00000000">
            <w:pPr>
              <w:pStyle w:val="Standard"/>
            </w:pPr>
            <w:r>
              <w:rPr>
                <w:b/>
                <w:bCs/>
                <w:iCs/>
                <w:sz w:val="20"/>
                <w:szCs w:val="20"/>
              </w:rPr>
              <w:t>Pokazatelji rezultata</w:t>
            </w:r>
            <w:r>
              <w:rPr>
                <w:iCs/>
                <w:sz w:val="20"/>
                <w:szCs w:val="20"/>
              </w:rPr>
              <w:t>:</w:t>
            </w:r>
            <w:r>
              <w:t xml:space="preserve"> </w:t>
            </w:r>
            <w:r>
              <w:rPr>
                <w:iCs/>
                <w:sz w:val="20"/>
                <w:szCs w:val="20"/>
              </w:rPr>
              <w:t>Sukladno Prilogu 1. Provedbenog programa Grada Makarska za razdoblje 2022. – 2025.</w:t>
            </w:r>
          </w:p>
        </w:tc>
      </w:tr>
      <w:tr w:rsidR="006402F7" w14:paraId="13B31D6C" w14:textId="77777777">
        <w:tblPrEx>
          <w:tblCellMar>
            <w:top w:w="0" w:type="dxa"/>
            <w:bottom w:w="0" w:type="dxa"/>
          </w:tblCellMar>
        </w:tblPrEx>
        <w:trPr>
          <w:trHeight w:val="305"/>
          <w:jc w:val="center"/>
        </w:trPr>
        <w:tc>
          <w:tcPr>
            <w:tcW w:w="106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06803" w14:textId="77777777" w:rsidR="006402F7" w:rsidRDefault="00000000">
            <w:pPr>
              <w:pStyle w:val="Standard"/>
            </w:pPr>
            <w:r>
              <w:rPr>
                <w:b/>
                <w:bCs/>
                <w:sz w:val="20"/>
                <w:szCs w:val="20"/>
              </w:rPr>
              <w:t>Naziv aktivnosti/projekta u Proračunu:</w:t>
            </w:r>
          </w:p>
          <w:p w14:paraId="07F31682" w14:textId="77777777" w:rsidR="006402F7" w:rsidRDefault="00000000">
            <w:pPr>
              <w:pStyle w:val="Standard"/>
            </w:pPr>
            <w:r>
              <w:rPr>
                <w:b/>
                <w:bCs/>
                <w:sz w:val="20"/>
                <w:szCs w:val="20"/>
              </w:rPr>
              <w:t>REDOVNA DJELATNOST USTANOVA U KULTURI</w:t>
            </w:r>
          </w:p>
        </w:tc>
      </w:tr>
      <w:tr w:rsidR="006402F7" w14:paraId="449D9EEC" w14:textId="77777777">
        <w:tblPrEx>
          <w:tblCellMar>
            <w:top w:w="0" w:type="dxa"/>
            <w:bottom w:w="0" w:type="dxa"/>
          </w:tblCellMar>
        </w:tblPrEx>
        <w:trPr>
          <w:trHeight w:val="255"/>
          <w:jc w:val="center"/>
        </w:trPr>
        <w:tc>
          <w:tcPr>
            <w:tcW w:w="665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C6172" w14:textId="77777777" w:rsidR="006402F7" w:rsidRDefault="00000000">
            <w:pPr>
              <w:pStyle w:val="Standard"/>
              <w:contextualSpacing/>
              <w:jc w:val="both"/>
            </w:pPr>
            <w:r>
              <w:rPr>
                <w:sz w:val="20"/>
                <w:szCs w:val="20"/>
              </w:rPr>
              <w:t>Knjižnica je javna ustanova osnovana za javno obavljanje knjižničarske djelatnosti, standardizirana kao javna narodna knjižnica, u smislu odredbi Zakona o knjižnicama. Osnivač Knjižnice je Grad Makarska. Akt o osnivanju javne ustanove Gradska knjižnica Makarska donijelo je Gradsko vijeće Grada Makarske na sjednici održanoj 4. ožujka 1995.</w:t>
            </w:r>
          </w:p>
          <w:p w14:paraId="13B32882" w14:textId="77777777" w:rsidR="006402F7" w:rsidRDefault="00000000">
            <w:pPr>
              <w:pStyle w:val="Standard"/>
              <w:contextualSpacing/>
              <w:jc w:val="both"/>
            </w:pPr>
            <w:r>
              <w:rPr>
                <w:sz w:val="20"/>
                <w:szCs w:val="20"/>
              </w:rPr>
              <w:t>Odgovorna osoba proračunskog korisnika JLP(R)S je ravnateljica Ana Duvnjak.</w:t>
            </w:r>
          </w:p>
          <w:p w14:paraId="5B25D1C0" w14:textId="77777777" w:rsidR="006402F7" w:rsidRDefault="00000000">
            <w:pPr>
              <w:pStyle w:val="Standard"/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Djelatnost Knjižnice je:</w:t>
            </w:r>
          </w:p>
          <w:p w14:paraId="54EC9A60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nabava knjižnične građe i izgradnja knjižničnih zbirki;</w:t>
            </w:r>
          </w:p>
          <w:p w14:paraId="13EB36BC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stručna obrada knjižnične građe prema stručnim standardima, što uključuje izradu informacijskih pomagala u tiskanom i/ili elektroničkom obliku;</w:t>
            </w:r>
          </w:p>
          <w:p w14:paraId="419F8651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pohrana, čuvanje i zaštita knjižnične građe te provođenje mjera zaštite knjižnične građe koja je kulturno dobro;</w:t>
            </w:r>
          </w:p>
          <w:p w14:paraId="1FF097DC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 xml:space="preserve">pružanje informacijskih usluga, posudbe i davanja na korištenje knjižnične građe, uključujući </w:t>
            </w:r>
            <w:proofErr w:type="spellStart"/>
            <w:r>
              <w:rPr>
                <w:sz w:val="20"/>
                <w:szCs w:val="20"/>
              </w:rPr>
              <w:t>međuknjižničnu</w:t>
            </w:r>
            <w:proofErr w:type="spellEnd"/>
            <w:r>
              <w:rPr>
                <w:sz w:val="20"/>
                <w:szCs w:val="20"/>
              </w:rPr>
              <w:t xml:space="preserve"> posudbu;</w:t>
            </w:r>
          </w:p>
          <w:p w14:paraId="6BFEA2DE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digitalizacija knjižnične građe;</w:t>
            </w:r>
          </w:p>
          <w:p w14:paraId="22BB1796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usmjeravanje i podučavanje korisnika pri izboru i korištenju knjižnične građe, informacijskih pomagala i drugih izvora;</w:t>
            </w:r>
          </w:p>
          <w:p w14:paraId="7E848F8F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vođenje dokumentacije i prikupljanje statističkih podataka o poslovanju, knjižničnoj građi, korisnicima i o korištenju usluga knjižnice;</w:t>
            </w:r>
          </w:p>
          <w:p w14:paraId="3E845863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prikupljanje statističkih podataka vezanih uz provedbu</w:t>
            </w:r>
          </w:p>
          <w:p w14:paraId="763F961E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propisa kojima se uređuju autorska i srodna prava;</w:t>
            </w:r>
          </w:p>
          <w:p w14:paraId="006EFA08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pripremanje kulturnih, informacijskih, obrazovnih i znanstvenih sadržaja i programa te</w:t>
            </w:r>
          </w:p>
          <w:p w14:paraId="3C7AC592" w14:textId="77777777" w:rsidR="006402F7" w:rsidRDefault="00000000">
            <w:pPr>
              <w:pStyle w:val="Odlomakpopisa"/>
              <w:numPr>
                <w:ilvl w:val="0"/>
                <w:numId w:val="3"/>
              </w:numPr>
              <w:ind w:right="289"/>
              <w:contextualSpacing/>
              <w:jc w:val="both"/>
            </w:pPr>
            <w:r>
              <w:rPr>
                <w:sz w:val="20"/>
                <w:szCs w:val="20"/>
              </w:rPr>
              <w:t>obavljanje i drugih poslova sukladno Zakonu</w:t>
            </w:r>
          </w:p>
          <w:p w14:paraId="4CFA4283" w14:textId="77777777" w:rsidR="006402F7" w:rsidRDefault="006402F7">
            <w:pPr>
              <w:pStyle w:val="Standard"/>
              <w:contextualSpacing/>
              <w:jc w:val="both"/>
              <w:rPr>
                <w:sz w:val="20"/>
                <w:szCs w:val="20"/>
              </w:rPr>
            </w:pPr>
          </w:p>
          <w:p w14:paraId="37D6840A" w14:textId="77777777" w:rsidR="006402F7" w:rsidRDefault="006402F7">
            <w:pPr>
              <w:pStyle w:val="Standard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4556A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>Planirana sredstva (EUR)</w:t>
            </w:r>
          </w:p>
        </w:tc>
      </w:tr>
      <w:tr w:rsidR="006402F7" w14:paraId="4FBCB0B0" w14:textId="77777777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665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68E49" w14:textId="77777777" w:rsidR="006402F7" w:rsidRDefault="006402F7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D7C75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>IZVRŠENJE 2024.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C6ABE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>IZVORNI PLAN</w:t>
            </w:r>
          </w:p>
          <w:p w14:paraId="4A27FDD9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>2025.</w:t>
            </w:r>
          </w:p>
          <w:p w14:paraId="7B424D5D" w14:textId="77777777" w:rsidR="006402F7" w:rsidRDefault="006402F7">
            <w:pPr>
              <w:pStyle w:val="Standard"/>
              <w:jc w:val="center"/>
              <w:rPr>
                <w:sz w:val="20"/>
                <w:szCs w:val="20"/>
              </w:rPr>
            </w:pPr>
          </w:p>
          <w:p w14:paraId="399ED954" w14:textId="77777777" w:rsidR="006402F7" w:rsidRDefault="006402F7">
            <w:pPr>
              <w:pStyle w:val="Standard"/>
              <w:rPr>
                <w:sz w:val="20"/>
                <w:szCs w:val="20"/>
              </w:rPr>
            </w:pPr>
          </w:p>
          <w:p w14:paraId="1E043EC3" w14:textId="77777777" w:rsidR="006402F7" w:rsidRDefault="006402F7">
            <w:pPr>
              <w:pStyle w:val="Standard"/>
              <w:jc w:val="center"/>
              <w:rPr>
                <w:sz w:val="20"/>
                <w:szCs w:val="20"/>
              </w:rPr>
            </w:pPr>
          </w:p>
          <w:p w14:paraId="23E8911D" w14:textId="77777777" w:rsidR="006402F7" w:rsidRDefault="006402F7">
            <w:pPr>
              <w:pStyle w:val="Standard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3C9F2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>TEKUĆI PLAN</w:t>
            </w:r>
          </w:p>
          <w:p w14:paraId="0E371C8A" w14:textId="77777777" w:rsidR="006402F7" w:rsidRDefault="00000000">
            <w:pPr>
              <w:pStyle w:val="Standard"/>
              <w:jc w:val="center"/>
            </w:pPr>
            <w:r>
              <w:rPr>
                <w:sz w:val="20"/>
                <w:szCs w:val="20"/>
              </w:rPr>
              <w:t xml:space="preserve"> 2025.</w:t>
            </w:r>
          </w:p>
          <w:p w14:paraId="734E8284" w14:textId="77777777" w:rsidR="006402F7" w:rsidRDefault="006402F7">
            <w:pPr>
              <w:pStyle w:val="Standard"/>
              <w:jc w:val="center"/>
              <w:rPr>
                <w:sz w:val="20"/>
                <w:szCs w:val="20"/>
              </w:rPr>
            </w:pPr>
          </w:p>
          <w:p w14:paraId="25F1FE7C" w14:textId="77777777" w:rsidR="006402F7" w:rsidRDefault="006402F7">
            <w:pPr>
              <w:pStyle w:val="Standard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6402F7" w14:paraId="238A9C64" w14:textId="77777777">
        <w:tblPrEx>
          <w:tblCellMar>
            <w:top w:w="0" w:type="dxa"/>
            <w:bottom w:w="0" w:type="dxa"/>
          </w:tblCellMar>
        </w:tblPrEx>
        <w:trPr>
          <w:trHeight w:val="555"/>
          <w:jc w:val="center"/>
        </w:trPr>
        <w:tc>
          <w:tcPr>
            <w:tcW w:w="66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34162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t>U nastavku se daje pregled prihoda i rashoda iskazanih prema</w:t>
            </w:r>
          </w:p>
          <w:p w14:paraId="0780003B" w14:textId="77777777" w:rsidR="006402F7" w:rsidRDefault="00000000">
            <w:pPr>
              <w:pStyle w:val="Odlomakpopisa"/>
              <w:numPr>
                <w:ilvl w:val="0"/>
                <w:numId w:val="7"/>
              </w:numPr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t>izvorima financiranje:</w:t>
            </w:r>
          </w:p>
          <w:p w14:paraId="549590AE" w14:textId="77777777" w:rsidR="006402F7" w:rsidRDefault="00000000">
            <w:pPr>
              <w:pStyle w:val="Odlomakpopisa"/>
              <w:numPr>
                <w:ilvl w:val="0"/>
                <w:numId w:val="6"/>
              </w:numPr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t>Opći prihodi</w:t>
            </w:r>
          </w:p>
          <w:p w14:paraId="08DC345D" w14:textId="77777777" w:rsidR="006402F7" w:rsidRDefault="00000000">
            <w:pPr>
              <w:pStyle w:val="Odlomakpopisa"/>
              <w:numPr>
                <w:ilvl w:val="0"/>
                <w:numId w:val="6"/>
              </w:numPr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t>Vlastiti prihodi</w:t>
            </w:r>
          </w:p>
          <w:p w14:paraId="02D17C66" w14:textId="77777777" w:rsidR="006402F7" w:rsidRDefault="00000000">
            <w:pPr>
              <w:pStyle w:val="Odlomakpopisa"/>
              <w:numPr>
                <w:ilvl w:val="0"/>
                <w:numId w:val="7"/>
              </w:numPr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 ekonomskoj klasifikaciji sukladno računskom planu.</w:t>
            </w:r>
          </w:p>
          <w:p w14:paraId="399E19C4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sz w:val="20"/>
                <w:szCs w:val="20"/>
              </w:rPr>
              <w:lastRenderedPageBreak/>
              <w:t>Rashodi iskazani prema funkcijskoj klasifikaciji se u cijelosti odnose na rashode unutar klasifikacije 08 – Rekreacija, kultura i religija, podskupina 082 Služba kulture</w:t>
            </w:r>
          </w:p>
          <w:p w14:paraId="014F3D57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IZVOR 1.OPĆI PRIHODI I PRIMICI –  Sredstva osnivača su izvorno planirana na razini od 140 </w:t>
            </w:r>
            <w:proofErr w:type="spellStart"/>
            <w:r>
              <w:rPr>
                <w:i/>
                <w:iCs/>
                <w:sz w:val="20"/>
                <w:szCs w:val="20"/>
              </w:rPr>
              <w:t>tis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. Na ovoj stavci nije bilo promjena do kraja 2025.g.</w:t>
            </w:r>
          </w:p>
          <w:p w14:paraId="57F0E182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Tijekom 2025.g. na strani rashoda se na 31 uvećavaju stavke plaće za redovan rad, doprinosi za zdravstveno osiguranje i ostalih rashoda za zaposlene za 1.050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, dok se za isti iznos na razni 32 umanjuju stavke Sitni inventar, Komunalne usluge, Ostale usluge te Naknada troškova osobama izvan radnog odnosa.</w:t>
            </w:r>
          </w:p>
          <w:p w14:paraId="4F082D31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Na razini 42 se briše iznos za Uredsku opremu i namještaj ukupno za 335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te se isti iznos prenosi na Knjige.</w:t>
            </w:r>
          </w:p>
          <w:p w14:paraId="07BA8480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Sve prema slijedećem prikazu:</w:t>
            </w:r>
          </w:p>
          <w:p w14:paraId="1979D1DB" w14:textId="77777777" w:rsidR="006402F7" w:rsidRDefault="00000000">
            <w:pPr>
              <w:pStyle w:val="Odlomakpopisa"/>
              <w:numPr>
                <w:ilvl w:val="0"/>
                <w:numId w:val="8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6711 Prihodi iz nadležnog proračuna za financiranje rashoda poslovanja</w:t>
            </w:r>
          </w:p>
          <w:p w14:paraId="7174909A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1FDC602E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3111 Plaća za redovan rad</w:t>
            </w:r>
          </w:p>
          <w:p w14:paraId="64627E7B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3121 Ostali rashodi za zaposlene</w:t>
            </w:r>
          </w:p>
          <w:p w14:paraId="319B103F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3132 Doprinosi za zdravstveno osiguranje</w:t>
            </w:r>
          </w:p>
          <w:p w14:paraId="24CB1961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3225 Sitni inventar</w:t>
            </w:r>
          </w:p>
          <w:p w14:paraId="1E996593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3234 Komunalne usluge</w:t>
            </w:r>
          </w:p>
          <w:p w14:paraId="7DDA68E1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3239 Ostale usluge</w:t>
            </w:r>
          </w:p>
          <w:p w14:paraId="3EF66D95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3241 Naknada troškova osobama izvan radnog odnosa</w:t>
            </w:r>
          </w:p>
          <w:p w14:paraId="0ED6D210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4221 Uredska oprema i namještaj</w:t>
            </w:r>
          </w:p>
          <w:p w14:paraId="624556A0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4241 Knjige</w:t>
            </w:r>
          </w:p>
          <w:p w14:paraId="1919156A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72573C73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IZVOR 3.VLASTITI PRIHODI – vlastiti prihod ostaju na istoj razini u izvornom i tekućem planu za 2025.g., odnosno na razini od 7.000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, a u preraspodjelu u tekućem planu se dodaje višak ostvaren u prethodnoj godini u iznosu od 2.389,95eur.</w:t>
            </w:r>
          </w:p>
          <w:p w14:paraId="17B709C8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U 2025.g. je izvorni plan mijenjan. Na strani rashoda se umanjila samo stavka Ostali rashodi za zaposlene za 700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te se navedeni iznos uz višak iz prethodne godine preraspodijelio na stavke:</w:t>
            </w:r>
          </w:p>
          <w:p w14:paraId="63FEF6D3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31 – Plaće za redovan rad i Doprinosi za zdravstveno osiguranje,</w:t>
            </w:r>
          </w:p>
          <w:p w14:paraId="474FED32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32 – Službeni put, te dalje na Sitni inventar Usluge telefona, pošte i prijevoza, Usluge tekućeg i </w:t>
            </w:r>
            <w:proofErr w:type="spellStart"/>
            <w:r>
              <w:rPr>
                <w:i/>
                <w:iCs/>
                <w:sz w:val="20"/>
                <w:szCs w:val="20"/>
              </w:rPr>
              <w:t>inv</w:t>
            </w:r>
            <w:proofErr w:type="spellEnd"/>
            <w:r>
              <w:rPr>
                <w:i/>
                <w:iCs/>
                <w:sz w:val="20"/>
                <w:szCs w:val="20"/>
              </w:rPr>
              <w:t>. održavanja, Naknade troškova osobama izvan radnog odnosa te Reprezentaciju,</w:t>
            </w:r>
          </w:p>
          <w:p w14:paraId="604B6A42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42 – Knjige.</w:t>
            </w:r>
          </w:p>
          <w:p w14:paraId="483850AD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337BC980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Sve prema slijedećem prikazu:</w:t>
            </w:r>
          </w:p>
          <w:p w14:paraId="2EEE065F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6526 Sufinanciranje cijene usluge, participacije i slično</w:t>
            </w:r>
          </w:p>
          <w:p w14:paraId="7C77404D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9221 Višak prihoda</w:t>
            </w:r>
          </w:p>
          <w:p w14:paraId="05EAC95B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1B3B5372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3111 Plaća za redovan rad</w:t>
            </w:r>
          </w:p>
          <w:p w14:paraId="4DFCF668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3121 Ostali rashodi za zaposlene</w:t>
            </w:r>
          </w:p>
          <w:p w14:paraId="7C85E43F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3132 Doprinosi za zdravstveno osiguranje</w:t>
            </w:r>
          </w:p>
          <w:p w14:paraId="37923761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3211 Službena putovanja</w:t>
            </w:r>
          </w:p>
          <w:p w14:paraId="7F634CB1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3225 Sitni inventar</w:t>
            </w:r>
          </w:p>
          <w:p w14:paraId="1F8214F2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3231 Usluge telefona, pošte i prijevoza</w:t>
            </w:r>
          </w:p>
          <w:p w14:paraId="5C6A3817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3232 Usluge tekućeg i </w:t>
            </w:r>
            <w:proofErr w:type="spellStart"/>
            <w:r>
              <w:rPr>
                <w:i/>
                <w:iCs/>
                <w:sz w:val="20"/>
                <w:szCs w:val="20"/>
              </w:rPr>
              <w:t>inv</w:t>
            </w:r>
            <w:proofErr w:type="spellEnd"/>
            <w:r>
              <w:rPr>
                <w:i/>
                <w:iCs/>
                <w:sz w:val="20"/>
                <w:szCs w:val="20"/>
              </w:rPr>
              <w:t>. održavanja</w:t>
            </w:r>
          </w:p>
          <w:p w14:paraId="71F6C2B0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3241 Naknade troškova osobama izvan radnog odnosa</w:t>
            </w:r>
          </w:p>
          <w:p w14:paraId="2297CF34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3293 Reprezentacija</w:t>
            </w:r>
          </w:p>
          <w:p w14:paraId="34F4BBB5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4241 Knjige</w:t>
            </w:r>
          </w:p>
          <w:p w14:paraId="2BD1E2FA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2DFD4A97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69235E6A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IZVOR 5. POMOĆI – Tijekom 2025.g.na stavci prihoda se umanjuju  Tekuće pomoći za 500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a  uvećava se stavka Kapitalnih pomoći za 2.300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. Preneseni višak iznosi 3.121,70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(odnosi se na sredstva Ministarstva za koja je rok za korištenje prolongiran do kraja tekuće godine). Ukupno se prihodi </w:t>
            </w:r>
            <w:r>
              <w:rPr>
                <w:i/>
                <w:iCs/>
                <w:sz w:val="20"/>
                <w:szCs w:val="20"/>
              </w:rPr>
              <w:lastRenderedPageBreak/>
              <w:t xml:space="preserve">uvećavaju za 4.921,70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te je sve namijenjeno za nabavu knjiga. Ostale promjene se odnose na umanjenje stavke Intelektualnih usluga za 800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i prijenos na</w:t>
            </w:r>
            <w:r>
              <w:t xml:space="preserve"> </w:t>
            </w:r>
            <w:r>
              <w:rPr>
                <w:i/>
                <w:iCs/>
                <w:sz w:val="20"/>
                <w:szCs w:val="20"/>
              </w:rPr>
              <w:t>Naknade troškova osobama izvan radnog odnosa i Knjige.</w:t>
            </w:r>
          </w:p>
          <w:p w14:paraId="0CEA075D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0929421F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 Sve prema slijedećem prikazu:</w:t>
            </w:r>
          </w:p>
          <w:p w14:paraId="0EDA4FBE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6361 Tekuće pomoći</w:t>
            </w:r>
          </w:p>
          <w:p w14:paraId="6831F381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6362 Kapitalne pomoći</w:t>
            </w:r>
          </w:p>
          <w:p w14:paraId="5F5780A4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9221 Višak prihoda</w:t>
            </w:r>
          </w:p>
          <w:p w14:paraId="3AEEF92E" w14:textId="77777777" w:rsidR="006402F7" w:rsidRDefault="006402F7">
            <w:pPr>
              <w:pStyle w:val="Odlomakpopisa"/>
              <w:rPr>
                <w:i/>
                <w:iCs/>
                <w:sz w:val="20"/>
                <w:szCs w:val="20"/>
              </w:rPr>
            </w:pPr>
          </w:p>
          <w:p w14:paraId="7CDA3F3C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3237 Intelektualne i osobne usluge</w:t>
            </w:r>
          </w:p>
          <w:p w14:paraId="5BB8E5B8" w14:textId="77777777" w:rsidR="006402F7" w:rsidRDefault="00000000">
            <w:pPr>
              <w:pStyle w:val="Odlomakpopisa"/>
              <w:numPr>
                <w:ilvl w:val="0"/>
                <w:numId w:val="5"/>
              </w:numPr>
            </w:pPr>
            <w:r>
              <w:rPr>
                <w:i/>
                <w:iCs/>
                <w:sz w:val="20"/>
                <w:szCs w:val="20"/>
              </w:rPr>
              <w:t>3241 Naknade troškova osobama izvan radnog odnosa</w:t>
            </w:r>
          </w:p>
          <w:p w14:paraId="5F51A6AC" w14:textId="77777777" w:rsidR="006402F7" w:rsidRDefault="00000000">
            <w:pPr>
              <w:pStyle w:val="Odlomakpopisa"/>
              <w:numPr>
                <w:ilvl w:val="0"/>
                <w:numId w:val="5"/>
              </w:numPr>
              <w:jc w:val="both"/>
            </w:pPr>
            <w:r>
              <w:rPr>
                <w:i/>
                <w:iCs/>
                <w:sz w:val="20"/>
                <w:szCs w:val="20"/>
              </w:rPr>
              <w:t>4241 Knjige</w:t>
            </w:r>
          </w:p>
          <w:p w14:paraId="5A7404BA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2FE63128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2CF8A05A" w14:textId="77777777" w:rsidR="006402F7" w:rsidRDefault="006402F7">
            <w:pPr>
              <w:pStyle w:val="Standard"/>
              <w:jc w:val="both"/>
              <w:rPr>
                <w:i/>
                <w:iCs/>
                <w:color w:val="FF0000"/>
                <w:sz w:val="20"/>
                <w:szCs w:val="20"/>
              </w:rPr>
            </w:pPr>
          </w:p>
          <w:p w14:paraId="592C67D9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UKUPNI PLANIRANI PRIHOD</w:t>
            </w:r>
          </w:p>
          <w:p w14:paraId="1798D0CB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UKUPNI OSTVARENI PRIHODI</w:t>
            </w:r>
          </w:p>
          <w:p w14:paraId="5C8EB0DE" w14:textId="77777777" w:rsidR="006402F7" w:rsidRDefault="006402F7">
            <w:pPr>
              <w:pStyle w:val="Standard"/>
              <w:jc w:val="both"/>
              <w:rPr>
                <w:b/>
                <w:bCs/>
                <w:i/>
                <w:iCs/>
                <w:color w:val="FF0000"/>
                <w:sz w:val="22"/>
                <w:szCs w:val="22"/>
              </w:rPr>
            </w:pPr>
          </w:p>
          <w:p w14:paraId="69242C88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UKUPNI PLANIRANI RASHODI</w:t>
            </w:r>
          </w:p>
          <w:p w14:paraId="2BCD4F39" w14:textId="77777777" w:rsidR="006402F7" w:rsidRDefault="00000000">
            <w:pPr>
              <w:pStyle w:val="Standard"/>
              <w:jc w:val="both"/>
            </w:pPr>
            <w:r>
              <w:rPr>
                <w:b/>
                <w:bCs/>
                <w:i/>
                <w:iCs/>
                <w:color w:val="FF0000"/>
                <w:sz w:val="22"/>
                <w:szCs w:val="22"/>
              </w:rPr>
              <w:t>UKUPNI OSTVARENI RASHODI</w:t>
            </w:r>
          </w:p>
          <w:p w14:paraId="7E65142C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06C3CD5B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20A9C8CB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Izvršeni prihodi u 2025.g. su ostvareni u iznosu od 169.623,93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uvećani za višak iz prethodnog razdoblja 5.511,65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(višak je generiran iz dva izvora – vlastitih prihoda 2.389,95 i neiskorištena sredstva Ministarstva 3.121,70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iz 2024.g.koja su u cijelosti utrošena u 2025.g.), ukupno iznose 175.135,58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približno jednaki prihodima tekućeg plana za 2025.g.(planirani 175.011,65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).</w:t>
            </w:r>
          </w:p>
          <w:p w14:paraId="2C88D815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Izvršeni prihodi u 2025.g u odnosu na izvršene prihode u 2024.g.su veći za 20,16%.</w:t>
            </w:r>
          </w:p>
          <w:p w14:paraId="18D66A49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U raščlani prihoda osim planiranih prihoda iz proračuna grada Makarska i vlastitih prihoda GSC-a, sudjelovali su i prihodi od pomoći Ministarstva kulture.</w:t>
            </w:r>
          </w:p>
          <w:p w14:paraId="74B81F06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568B2556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Izvršeni rashodi u 2025.g. su ostvareni u iznosu od 97,18% u odnosu na tekući plan rashoda za 2025.g., odnosno od planiranih 175.011,65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ostvareno je 170.071,35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.</w:t>
            </w:r>
          </w:p>
          <w:p w14:paraId="33242D55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Izvršeni rashodi u 2025.g u odnosu na 2024.g.su veći za 21,01%.</w:t>
            </w:r>
          </w:p>
          <w:p w14:paraId="0DEBEE99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U raščlani rashoda najveći postotak se odnosi na rashode za zaposlene koji su u odnosu na izvršenje u 2024.g.povećani za 39,41%. Od ostali rashoda</w:t>
            </w:r>
          </w:p>
          <w:p w14:paraId="2F2D1975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>materijalni rashodi  su u odnosu na 2024.g.manji za cca 19,5%, te rashodi za nabavu nefinancijske imovine (manji u odnosu na 2024.g. za cca 6,5%).</w:t>
            </w:r>
          </w:p>
          <w:p w14:paraId="703667FB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723FF726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Ostvareni manjak prihoda nad rashodima u iznosu od 447,42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, financirati će se iz prenesenog viška koji se sastoji od prenesenog viška iz prethodnih godina 5.511,65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  <w:r>
              <w:rPr>
                <w:i/>
                <w:iCs/>
                <w:sz w:val="20"/>
                <w:szCs w:val="20"/>
              </w:rPr>
              <w:t>.</w:t>
            </w:r>
          </w:p>
          <w:p w14:paraId="1AF96D76" w14:textId="77777777" w:rsidR="006402F7" w:rsidRDefault="00000000">
            <w:pPr>
              <w:pStyle w:val="Standard"/>
              <w:jc w:val="both"/>
            </w:pPr>
            <w:r>
              <w:rPr>
                <w:i/>
                <w:iCs/>
                <w:sz w:val="20"/>
                <w:szCs w:val="20"/>
              </w:rPr>
              <w:t xml:space="preserve">Višak koji se prenosi u 2026.g. je 5.064,24 </w:t>
            </w:r>
            <w:proofErr w:type="spellStart"/>
            <w:r>
              <w:rPr>
                <w:i/>
                <w:iCs/>
                <w:sz w:val="20"/>
                <w:szCs w:val="20"/>
              </w:rPr>
              <w:t>eur</w:t>
            </w:r>
            <w:proofErr w:type="spellEnd"/>
          </w:p>
          <w:p w14:paraId="6DE8F6B2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  <w:p w14:paraId="1D4CF8A9" w14:textId="77777777" w:rsidR="006402F7" w:rsidRDefault="006402F7">
            <w:pPr>
              <w:pStyle w:val="Standard"/>
              <w:jc w:val="both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C37B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D2377B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4B5C0AA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BAD115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97F6A23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8177C4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807BF8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C4AA08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5FD9E7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DB4BD8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49D8BC43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ABB41D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CDA87D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69AF53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1BD0C5B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4C8FB15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F930583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6475832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7A0F3553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47DB614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5BED9B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5B3CB2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D865AE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65B57A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93E201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F6219AC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17FDD5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15AFDD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AC8F38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A335463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E394BB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71A2E4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26D42B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4A61F4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40BDA9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5CD91E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A61E8B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92959A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260EC6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B590C1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232D4A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315115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A46139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D694B8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B849B6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94A417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0BF436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489D54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6C8FA1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72EF54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F84BC7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23E53D5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C22D3D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F26BC0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C08EE6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DADC6C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EB0457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B66D44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2E9A784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8CC4DF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0D8D75A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9CA558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23F56D0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2F2235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E424F7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0EE7A8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7DFEDD4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4B3B4D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D2E236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E110B3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EE762C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DC4DEBA" w14:textId="77777777" w:rsidR="006402F7" w:rsidRDefault="006402F7">
            <w:pPr>
              <w:pStyle w:val="Standard"/>
              <w:jc w:val="right"/>
              <w:rPr>
                <w:b/>
                <w:color w:val="FF0000"/>
              </w:rPr>
            </w:pPr>
          </w:p>
          <w:p w14:paraId="04A18A7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AE69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87D923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45E190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8F2D00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6225B2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F0FC81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B7D4F1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150DD22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64033C7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80F054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34A402C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728CA77B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9020F2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7F0CDDA0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B9F50BE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9E9483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5833800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608145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F0049BB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140.000</w:t>
            </w:r>
          </w:p>
          <w:p w14:paraId="791970C2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007BCFC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3E9E8C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95.000</w:t>
            </w:r>
          </w:p>
          <w:p w14:paraId="5F944DAB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12.320</w:t>
            </w:r>
          </w:p>
          <w:p w14:paraId="5774937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15.700</w:t>
            </w:r>
          </w:p>
          <w:p w14:paraId="2E4AA0E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500</w:t>
            </w:r>
          </w:p>
          <w:p w14:paraId="000BF293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265</w:t>
            </w:r>
          </w:p>
          <w:p w14:paraId="6565A267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3.000</w:t>
            </w:r>
          </w:p>
          <w:p w14:paraId="071441AF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470</w:t>
            </w:r>
          </w:p>
          <w:p w14:paraId="2F2885C8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335</w:t>
            </w:r>
          </w:p>
          <w:p w14:paraId="40A10DC4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5.000</w:t>
            </w:r>
          </w:p>
          <w:p w14:paraId="7D99F64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68B3A4D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6484A5A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E59493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25BB4C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33212CD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3080F4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73ED13C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FEDDEB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385C5F5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E0819A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65504CB" w14:textId="77777777" w:rsidR="002D1EBE" w:rsidRDefault="002D1EBE">
            <w:pPr>
              <w:pStyle w:val="Standard"/>
              <w:rPr>
                <w:b/>
                <w:sz w:val="20"/>
                <w:szCs w:val="20"/>
              </w:rPr>
            </w:pPr>
          </w:p>
          <w:p w14:paraId="77CDDB3C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F608163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4507EB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F1A24D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9036D2B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7.000</w:t>
            </w:r>
          </w:p>
          <w:p w14:paraId="43800581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215FFB8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A40754D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15E10B54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2.500</w:t>
            </w:r>
          </w:p>
          <w:p w14:paraId="757C4ED5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3CE93FDC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5B43A5C6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4D3B8860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7FEBB6D8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10D272DC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748D1518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636F3C3E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3.500</w:t>
            </w:r>
          </w:p>
          <w:p w14:paraId="3D67008C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38CD58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CE8474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603413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5E9AD54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0AB3AE4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3FF32B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0487F6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84D4B3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AA36B33" w14:textId="77777777" w:rsidR="002D1EBE" w:rsidRDefault="002D1EBE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84C70C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78F415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DC94453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3.000</w:t>
            </w:r>
          </w:p>
          <w:p w14:paraId="4D4EE8B6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17.700</w:t>
            </w:r>
          </w:p>
          <w:p w14:paraId="67426FAC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AC3065A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6D7A7F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3.000</w:t>
            </w:r>
          </w:p>
          <w:p w14:paraId="3A53F045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413567B9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17.700</w:t>
            </w:r>
          </w:p>
          <w:p w14:paraId="38D90A2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9688F14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B45E295" w14:textId="77777777" w:rsidR="006402F7" w:rsidRDefault="006402F7">
            <w:pPr>
              <w:pStyle w:val="Standard"/>
              <w:jc w:val="right"/>
              <w:rPr>
                <w:b/>
                <w:color w:val="FF0000"/>
              </w:rPr>
            </w:pPr>
          </w:p>
          <w:p w14:paraId="031252C3" w14:textId="77777777" w:rsidR="006402F7" w:rsidRDefault="00000000">
            <w:pPr>
              <w:pStyle w:val="Standard"/>
              <w:jc w:val="right"/>
            </w:pPr>
            <w:r>
              <w:rPr>
                <w:b/>
                <w:color w:val="FF0000"/>
                <w:sz w:val="22"/>
                <w:szCs w:val="22"/>
              </w:rPr>
              <w:t>167.700</w:t>
            </w:r>
          </w:p>
          <w:p w14:paraId="70FDB424" w14:textId="77777777" w:rsidR="006402F7" w:rsidRDefault="006402F7">
            <w:pPr>
              <w:pStyle w:val="Standard"/>
              <w:jc w:val="right"/>
              <w:rPr>
                <w:b/>
                <w:color w:val="FF0000"/>
                <w:sz w:val="22"/>
                <w:szCs w:val="22"/>
              </w:rPr>
            </w:pPr>
          </w:p>
          <w:p w14:paraId="4FF4B6DA" w14:textId="77777777" w:rsidR="006402F7" w:rsidRDefault="006402F7">
            <w:pPr>
              <w:pStyle w:val="Standard"/>
              <w:rPr>
                <w:b/>
                <w:color w:val="FF0000"/>
                <w:sz w:val="22"/>
                <w:szCs w:val="22"/>
              </w:rPr>
            </w:pPr>
          </w:p>
          <w:p w14:paraId="7A1797A4" w14:textId="77777777" w:rsidR="006402F7" w:rsidRDefault="00000000">
            <w:pPr>
              <w:pStyle w:val="Standard"/>
              <w:jc w:val="right"/>
            </w:pPr>
            <w:r>
              <w:rPr>
                <w:b/>
                <w:color w:val="EE0000"/>
                <w:sz w:val="22"/>
                <w:szCs w:val="22"/>
              </w:rPr>
              <w:t>167.700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1759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CA954B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72393C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AE8DBAF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240B0B9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6C895A2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82114F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82DE22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34ADD1F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A11C30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7672E7E9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137BAB9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42032665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DE4CCB5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D8DF154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696FF87B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79C8624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1AD2C56F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2ECE933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140.000</w:t>
            </w:r>
          </w:p>
          <w:p w14:paraId="75BB1401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4FB5956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99EEC2B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95.500</w:t>
            </w:r>
          </w:p>
          <w:p w14:paraId="40D702BD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12.570</w:t>
            </w:r>
          </w:p>
          <w:p w14:paraId="1390F3B1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16.000</w:t>
            </w:r>
          </w:p>
          <w:p w14:paraId="3AE17769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200</w:t>
            </w:r>
          </w:p>
          <w:p w14:paraId="76AED421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215</w:t>
            </w:r>
          </w:p>
          <w:p w14:paraId="2C0CDFC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2.500</w:t>
            </w:r>
          </w:p>
          <w:p w14:paraId="04F20E25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270</w:t>
            </w:r>
          </w:p>
          <w:p w14:paraId="5515590A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0</w:t>
            </w:r>
          </w:p>
          <w:p w14:paraId="2F05A5EE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5.335</w:t>
            </w:r>
          </w:p>
          <w:p w14:paraId="06BB786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6105B75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35774D9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D2A866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3738BB1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2C2D075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6C3D31A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1864192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568E4F8F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2C8F12C4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7CFBFA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47F8F47D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4C8326F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0254188F" w14:textId="77777777" w:rsidR="002D1EBE" w:rsidRDefault="002D1EBE">
            <w:pPr>
              <w:pStyle w:val="Standard"/>
              <w:rPr>
                <w:b/>
                <w:sz w:val="20"/>
                <w:szCs w:val="20"/>
              </w:rPr>
            </w:pPr>
          </w:p>
          <w:p w14:paraId="7F4389B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D061C1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E6FD78C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7.000</w:t>
            </w:r>
          </w:p>
          <w:p w14:paraId="33ACFD1D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2.389,95</w:t>
            </w:r>
          </w:p>
          <w:p w14:paraId="0E77008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65CF1D9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600</w:t>
            </w:r>
          </w:p>
          <w:p w14:paraId="36B6D664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1.800</w:t>
            </w:r>
          </w:p>
          <w:p w14:paraId="1F4B9BE3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100</w:t>
            </w:r>
          </w:p>
          <w:p w14:paraId="32A819F9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250</w:t>
            </w:r>
          </w:p>
          <w:p w14:paraId="75F93C5F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100</w:t>
            </w:r>
          </w:p>
          <w:p w14:paraId="758DFD52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100</w:t>
            </w:r>
          </w:p>
          <w:p w14:paraId="633C39E2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400</w:t>
            </w:r>
          </w:p>
          <w:p w14:paraId="18858020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200</w:t>
            </w:r>
          </w:p>
          <w:p w14:paraId="54910A1D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250</w:t>
            </w:r>
          </w:p>
          <w:p w14:paraId="5B3DE71B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4.589,95</w:t>
            </w:r>
          </w:p>
          <w:p w14:paraId="70D7D836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38E94E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FF3B43E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3356833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8F3D262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CDABC7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E7BEF6D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039D012B" w14:textId="77777777" w:rsidR="006402F7" w:rsidRDefault="006402F7">
            <w:pPr>
              <w:pStyle w:val="Standard"/>
              <w:rPr>
                <w:b/>
                <w:sz w:val="20"/>
                <w:szCs w:val="20"/>
              </w:rPr>
            </w:pPr>
          </w:p>
          <w:p w14:paraId="3942768F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23EA55AA" w14:textId="77777777" w:rsidR="002D1EBE" w:rsidRDefault="002D1EBE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45CB1EAC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C64745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54D00EDD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2.500</w:t>
            </w:r>
          </w:p>
          <w:p w14:paraId="4CD70548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20.000</w:t>
            </w:r>
          </w:p>
          <w:p w14:paraId="6FF2828E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3.121,70</w:t>
            </w:r>
          </w:p>
          <w:p w14:paraId="458774E7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89C8A5F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2.200</w:t>
            </w:r>
          </w:p>
          <w:p w14:paraId="28755127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300</w:t>
            </w:r>
          </w:p>
          <w:p w14:paraId="37B71BB6" w14:textId="77777777" w:rsidR="006402F7" w:rsidRDefault="00000000">
            <w:pPr>
              <w:pStyle w:val="Standard"/>
              <w:jc w:val="right"/>
            </w:pPr>
            <w:r>
              <w:rPr>
                <w:b/>
                <w:sz w:val="20"/>
                <w:szCs w:val="20"/>
              </w:rPr>
              <w:t>23.121,70</w:t>
            </w:r>
          </w:p>
          <w:p w14:paraId="06AEE718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7EE42C40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  <w:p w14:paraId="12829DB8" w14:textId="77777777" w:rsidR="006402F7" w:rsidRDefault="006402F7">
            <w:pPr>
              <w:pStyle w:val="Standard"/>
              <w:jc w:val="right"/>
              <w:rPr>
                <w:b/>
                <w:color w:val="FF0000"/>
              </w:rPr>
            </w:pPr>
          </w:p>
          <w:p w14:paraId="37E96918" w14:textId="77777777" w:rsidR="006402F7" w:rsidRDefault="00000000">
            <w:pPr>
              <w:pStyle w:val="Standard"/>
              <w:jc w:val="right"/>
            </w:pPr>
            <w:r>
              <w:rPr>
                <w:b/>
                <w:bCs/>
                <w:color w:val="EE0000"/>
                <w:sz w:val="22"/>
                <w:szCs w:val="22"/>
              </w:rPr>
              <w:t>175.011,65</w:t>
            </w:r>
          </w:p>
          <w:p w14:paraId="1071A1FA" w14:textId="77777777" w:rsidR="006402F7" w:rsidRDefault="00000000">
            <w:pPr>
              <w:pStyle w:val="Standard"/>
              <w:jc w:val="right"/>
            </w:pPr>
            <w:r>
              <w:rPr>
                <w:b/>
                <w:bCs/>
                <w:color w:val="EE0000"/>
                <w:sz w:val="22"/>
                <w:szCs w:val="22"/>
              </w:rPr>
              <w:t>169.623,93</w:t>
            </w:r>
          </w:p>
          <w:p w14:paraId="725FA8A4" w14:textId="77777777" w:rsidR="006402F7" w:rsidRDefault="006402F7">
            <w:pPr>
              <w:pStyle w:val="Standard"/>
              <w:jc w:val="right"/>
              <w:rPr>
                <w:b/>
                <w:bCs/>
                <w:color w:val="EE0000"/>
                <w:sz w:val="22"/>
                <w:szCs w:val="22"/>
              </w:rPr>
            </w:pPr>
          </w:p>
          <w:p w14:paraId="5AD59DF4" w14:textId="77777777" w:rsidR="006402F7" w:rsidRDefault="00000000">
            <w:pPr>
              <w:pStyle w:val="Standard"/>
              <w:jc w:val="right"/>
            </w:pPr>
            <w:r>
              <w:rPr>
                <w:b/>
                <w:bCs/>
                <w:color w:val="EE0000"/>
                <w:sz w:val="22"/>
                <w:szCs w:val="22"/>
              </w:rPr>
              <w:t>175.011,65</w:t>
            </w:r>
          </w:p>
          <w:p w14:paraId="50197594" w14:textId="77777777" w:rsidR="006402F7" w:rsidRDefault="00000000">
            <w:pPr>
              <w:pStyle w:val="Standard"/>
              <w:jc w:val="right"/>
            </w:pPr>
            <w:r>
              <w:rPr>
                <w:b/>
                <w:bCs/>
                <w:color w:val="EE0000"/>
                <w:sz w:val="22"/>
                <w:szCs w:val="22"/>
              </w:rPr>
              <w:t>170.071,35</w:t>
            </w:r>
          </w:p>
          <w:p w14:paraId="7BC083BB" w14:textId="77777777" w:rsidR="006402F7" w:rsidRDefault="006402F7">
            <w:pPr>
              <w:pStyle w:val="Standard"/>
              <w:jc w:val="right"/>
              <w:rPr>
                <w:b/>
                <w:sz w:val="20"/>
                <w:szCs w:val="20"/>
              </w:rPr>
            </w:pPr>
          </w:p>
        </w:tc>
      </w:tr>
      <w:tr w:rsidR="006402F7" w14:paraId="7266D261" w14:textId="77777777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E5AC2" w14:textId="77777777" w:rsidR="006402F7" w:rsidRDefault="00000000">
            <w:pPr>
              <w:pStyle w:val="Standard"/>
            </w:pPr>
            <w:r>
              <w:rPr>
                <w:rFonts w:eastAsia="Calibri"/>
                <w:b/>
                <w:bCs/>
                <w:sz w:val="20"/>
                <w:szCs w:val="20"/>
              </w:rPr>
              <w:lastRenderedPageBreak/>
              <w:t>Pokazatelj uspješnosti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C8152" w14:textId="77777777" w:rsidR="006402F7" w:rsidRDefault="00000000">
            <w:pPr>
              <w:pStyle w:val="Standard"/>
            </w:pPr>
            <w:r>
              <w:rPr>
                <w:rFonts w:eastAsia="Calibri"/>
                <w:b/>
                <w:bCs/>
                <w:sz w:val="20"/>
                <w:szCs w:val="20"/>
              </w:rPr>
              <w:t>Definicija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9ED26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b/>
                <w:bCs/>
                <w:sz w:val="20"/>
                <w:szCs w:val="20"/>
              </w:rPr>
              <w:t>Jedinica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B93C9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b/>
                <w:bCs/>
                <w:sz w:val="20"/>
                <w:szCs w:val="20"/>
              </w:rPr>
              <w:t>Polazna vrijednost 2023.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15CB5" w14:textId="77777777" w:rsidR="006402F7" w:rsidRDefault="00000000">
            <w:pPr>
              <w:pStyle w:val="Standard"/>
              <w:keepNext/>
              <w:jc w:val="center"/>
              <w:outlineLvl w:val="6"/>
            </w:pPr>
            <w:r>
              <w:rPr>
                <w:rFonts w:eastAsia="Calibri"/>
                <w:b/>
                <w:bCs/>
                <w:sz w:val="20"/>
                <w:szCs w:val="20"/>
              </w:rPr>
              <w:t>Ciljana vrijednost 2024.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E9207" w14:textId="77777777" w:rsidR="006402F7" w:rsidRDefault="00000000">
            <w:pPr>
              <w:pStyle w:val="Standard"/>
              <w:keepNext/>
              <w:jc w:val="center"/>
              <w:outlineLvl w:val="6"/>
            </w:pPr>
            <w:r>
              <w:rPr>
                <w:rFonts w:eastAsia="Calibri"/>
                <w:b/>
                <w:bCs/>
                <w:sz w:val="20"/>
                <w:szCs w:val="20"/>
              </w:rPr>
              <w:t>Ciljana vrijednost 2025.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4DD33" w14:textId="77777777" w:rsidR="006402F7" w:rsidRDefault="00000000">
            <w:pPr>
              <w:pStyle w:val="Standard"/>
              <w:keepNext/>
              <w:jc w:val="center"/>
              <w:outlineLvl w:val="6"/>
            </w:pPr>
            <w:r>
              <w:rPr>
                <w:rFonts w:eastAsia="Calibri"/>
                <w:b/>
                <w:bCs/>
                <w:sz w:val="20"/>
                <w:szCs w:val="20"/>
              </w:rPr>
              <w:t>Ciljana vrijednost 2026.</w:t>
            </w:r>
          </w:p>
        </w:tc>
      </w:tr>
      <w:tr w:rsidR="006402F7" w14:paraId="15539588" w14:textId="77777777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1BFCF" w14:textId="77777777" w:rsidR="006402F7" w:rsidRDefault="00000000">
            <w:pPr>
              <w:pStyle w:val="Standard"/>
            </w:pPr>
            <w:r>
              <w:rPr>
                <w:rFonts w:eastAsia="Calibri"/>
                <w:sz w:val="20"/>
                <w:szCs w:val="20"/>
                <w:lang w:eastAsia="en-US"/>
              </w:rPr>
              <w:t>Broj aktivnih korisnika knjižnog fonda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849AE" w14:textId="77777777" w:rsidR="006402F7" w:rsidRDefault="00000000">
            <w:pPr>
              <w:pStyle w:val="Standard"/>
              <w:suppressLineNumbers/>
            </w:pPr>
            <w:r>
              <w:rPr>
                <w:rFonts w:eastAsia="Calibri"/>
                <w:sz w:val="20"/>
                <w:szCs w:val="20"/>
                <w:lang w:eastAsia="en-US"/>
              </w:rPr>
              <w:t>Broj korisnika koji su obnovili članstvo u izvještajnom razdoblju uvećano za broj novoupisanih korisnika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F7E2F" w14:textId="77777777" w:rsidR="006402F7" w:rsidRDefault="006402F7">
            <w:pPr>
              <w:pStyle w:val="Standard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8D986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641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D9451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743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A876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757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EAA2F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800</w:t>
            </w:r>
          </w:p>
        </w:tc>
      </w:tr>
      <w:tr w:rsidR="006402F7" w14:paraId="270B3890" w14:textId="77777777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C4EAF" w14:textId="77777777" w:rsidR="006402F7" w:rsidRDefault="00000000">
            <w:pPr>
              <w:pStyle w:val="Standard"/>
            </w:pPr>
            <w:r>
              <w:rPr>
                <w:rFonts w:eastAsia="Calibri"/>
                <w:sz w:val="20"/>
                <w:szCs w:val="20"/>
                <w:lang w:eastAsia="en-US"/>
              </w:rPr>
              <w:t>Broj polaznika tečaja engleskog jezika za umirovljenike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365F8" w14:textId="77777777" w:rsidR="006402F7" w:rsidRDefault="00000000">
            <w:pPr>
              <w:pStyle w:val="Standard"/>
              <w:suppressLineNumbers/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Besplatni tečajevi engleskog jezika za umirovljenike organizirani su u sklopu redovnog radnog vremena </w:t>
            </w: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knjižnice. Dokaz je da se poslovanje knjižnice ne odnosi samo na edukativne i kulturne programe namijenjeni aktivnim članovima knjižnice, već je posvećeno pripadnicima svih dobnih skupina, bez obzira na interes za čitanje. U ovom programu se bazira na pripadnike zrelije dobi u smislu organizacije</w:t>
            </w:r>
            <w:r>
              <w:t xml:space="preserve"> </w:t>
            </w:r>
            <w:r>
              <w:rPr>
                <w:sz w:val="20"/>
                <w:szCs w:val="20"/>
              </w:rPr>
              <w:t>njihovog</w:t>
            </w:r>
            <w:r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>kvalitetno provedenog slobodnog vremena kao i prilici da se povežu sa svojim vršnjacima.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B9F21" w14:textId="77777777" w:rsidR="006402F7" w:rsidRDefault="006402F7">
            <w:pPr>
              <w:pStyle w:val="Standard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48C21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0BCD8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98D73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44C97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24</w:t>
            </w:r>
          </w:p>
        </w:tc>
      </w:tr>
      <w:tr w:rsidR="006402F7" w14:paraId="28EE29BA" w14:textId="77777777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5C1F4" w14:textId="77777777" w:rsidR="006402F7" w:rsidRDefault="00000000">
            <w:pPr>
              <w:pStyle w:val="Standard"/>
            </w:pPr>
            <w:r>
              <w:rPr>
                <w:rFonts w:eastAsia="Calibri"/>
                <w:sz w:val="20"/>
                <w:szCs w:val="20"/>
                <w:lang w:eastAsia="en-US"/>
              </w:rPr>
              <w:t>Broj književnih gostovanja promocije knjiga i predavanja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E9F15" w14:textId="77777777" w:rsidR="006402F7" w:rsidRDefault="00000000">
            <w:pPr>
              <w:pStyle w:val="Standard"/>
              <w:suppressLineNumbers/>
            </w:pPr>
            <w:r>
              <w:rPr>
                <w:rFonts w:eastAsia="Calibri"/>
                <w:sz w:val="20"/>
                <w:szCs w:val="20"/>
                <w:lang w:eastAsia="en-US"/>
              </w:rPr>
              <w:t>Gostovanja književnika, putopisaca i ostalih umjetnika, u organizaciji gradske knjižnice tijekom cijele kalendarske godine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9C2C5" w14:textId="77777777" w:rsidR="006402F7" w:rsidRDefault="006402F7">
            <w:pPr>
              <w:pStyle w:val="Standard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1C6C0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27CA7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508C1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DB824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25</w:t>
            </w:r>
          </w:p>
        </w:tc>
      </w:tr>
      <w:tr w:rsidR="006402F7" w14:paraId="5EE5C58C" w14:textId="77777777">
        <w:tblPrEx>
          <w:tblCellMar>
            <w:top w:w="0" w:type="dxa"/>
            <w:bottom w:w="0" w:type="dxa"/>
          </w:tblCellMar>
        </w:tblPrEx>
        <w:trPr>
          <w:trHeight w:val="423"/>
          <w:jc w:val="center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38695" w14:textId="77777777" w:rsidR="006402F7" w:rsidRDefault="00000000">
            <w:pPr>
              <w:pStyle w:val="Standard"/>
            </w:pPr>
            <w:r>
              <w:rPr>
                <w:rFonts w:eastAsia="Calibri"/>
                <w:sz w:val="20"/>
                <w:szCs w:val="20"/>
                <w:lang w:eastAsia="en-US"/>
              </w:rPr>
              <w:t>Broj aktivnih sudionika Olimpijade čitanja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EDCF2" w14:textId="77777777" w:rsidR="006402F7" w:rsidRDefault="00000000">
            <w:pPr>
              <w:pStyle w:val="Standard"/>
              <w:suppressLineNumbers/>
            </w:pPr>
            <w:r>
              <w:rPr>
                <w:rFonts w:eastAsia="Calibri"/>
                <w:sz w:val="20"/>
                <w:szCs w:val="20"/>
                <w:lang w:eastAsia="en-US"/>
              </w:rPr>
              <w:t>Program poticanja čitanja među djecom koji Gradska knjižnica Makarska provodi tijekom ljetnih mjeseci.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EE916" w14:textId="77777777" w:rsidR="006402F7" w:rsidRDefault="006402F7">
            <w:pPr>
              <w:pStyle w:val="Standard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0BB2C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95A14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19BF6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91F61" w14:textId="77777777" w:rsidR="006402F7" w:rsidRDefault="00000000">
            <w:pPr>
              <w:pStyle w:val="Standard"/>
              <w:jc w:val="center"/>
            </w:pPr>
            <w:r>
              <w:rPr>
                <w:rFonts w:eastAsia="Calibri"/>
                <w:sz w:val="20"/>
                <w:szCs w:val="20"/>
                <w:lang w:eastAsia="en-US"/>
              </w:rPr>
              <w:t>85</w:t>
            </w:r>
          </w:p>
        </w:tc>
      </w:tr>
    </w:tbl>
    <w:p w14:paraId="2FD8689F" w14:textId="77777777" w:rsidR="006402F7" w:rsidRDefault="006402F7">
      <w:pPr>
        <w:pStyle w:val="Standard"/>
      </w:pPr>
    </w:p>
    <w:sectPr w:rsidR="006402F7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EEE1" w14:textId="77777777" w:rsidR="00126D11" w:rsidRDefault="00126D11">
      <w:r>
        <w:separator/>
      </w:r>
    </w:p>
  </w:endnote>
  <w:endnote w:type="continuationSeparator" w:id="0">
    <w:p w14:paraId="53262E21" w14:textId="77777777" w:rsidR="00126D11" w:rsidRDefault="00126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F"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2B1C1" w14:textId="77777777" w:rsidR="00126D11" w:rsidRDefault="00126D11">
      <w:r>
        <w:rPr>
          <w:color w:val="000000"/>
        </w:rPr>
        <w:separator/>
      </w:r>
    </w:p>
  </w:footnote>
  <w:footnote w:type="continuationSeparator" w:id="0">
    <w:p w14:paraId="0347BCCD" w14:textId="77777777" w:rsidR="00126D11" w:rsidRDefault="00126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F79B6"/>
    <w:multiLevelType w:val="multilevel"/>
    <w:tmpl w:val="2944709E"/>
    <w:styleLink w:val="WWNum1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32AC25F2"/>
    <w:multiLevelType w:val="multilevel"/>
    <w:tmpl w:val="CCEAE16A"/>
    <w:styleLink w:val="NoList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3C6E1B16"/>
    <w:multiLevelType w:val="multilevel"/>
    <w:tmpl w:val="B8BCB532"/>
    <w:styleLink w:val="WWNum5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51FF78AC"/>
    <w:multiLevelType w:val="multilevel"/>
    <w:tmpl w:val="65A4C652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92559"/>
    <w:multiLevelType w:val="multilevel"/>
    <w:tmpl w:val="21AC3C76"/>
    <w:styleLink w:val="WWNum2"/>
    <w:lvl w:ilvl="0">
      <w:numFmt w:val="bullet"/>
      <w:lvlText w:val="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5" w15:restartNumberingAfterBreak="0">
    <w:nsid w:val="64887BEB"/>
    <w:multiLevelType w:val="multilevel"/>
    <w:tmpl w:val="79E269F2"/>
    <w:styleLink w:val="WWNum4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6" w15:restartNumberingAfterBreak="0">
    <w:nsid w:val="6C6A7DE6"/>
    <w:multiLevelType w:val="multilevel"/>
    <w:tmpl w:val="533A34E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4018552">
    <w:abstractNumId w:val="1"/>
  </w:num>
  <w:num w:numId="2" w16cid:durableId="1731952607">
    <w:abstractNumId w:val="0"/>
  </w:num>
  <w:num w:numId="3" w16cid:durableId="107435589">
    <w:abstractNumId w:val="4"/>
  </w:num>
  <w:num w:numId="4" w16cid:durableId="1467694860">
    <w:abstractNumId w:val="6"/>
  </w:num>
  <w:num w:numId="5" w16cid:durableId="1862165091">
    <w:abstractNumId w:val="5"/>
  </w:num>
  <w:num w:numId="6" w16cid:durableId="2019966921">
    <w:abstractNumId w:val="2"/>
  </w:num>
  <w:num w:numId="7" w16cid:durableId="1526866695">
    <w:abstractNumId w:val="3"/>
  </w:num>
  <w:num w:numId="8" w16cid:durableId="594900921">
    <w:abstractNumId w:val="5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402F7"/>
    <w:rsid w:val="00126D11"/>
    <w:rsid w:val="002D1EBE"/>
    <w:rsid w:val="006402F7"/>
    <w:rsid w:val="00E80959"/>
    <w:rsid w:val="00F5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F05FA"/>
  <w15:docId w15:val="{F2E74835-12D2-4C0A-AA69-771C96389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kern w:val="3"/>
        <w:sz w:val="22"/>
        <w:szCs w:val="22"/>
        <w:lang w:val="hr-HR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kern w:val="0"/>
      <w:sz w:val="24"/>
      <w:szCs w:val="24"/>
      <w:lang w:eastAsia="hr-H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Popis">
    <w:name w:val="List"/>
    <w:basedOn w:val="Textbody"/>
    <w:rPr>
      <w:rFonts w:cs="Lucida Sans"/>
    </w:rPr>
  </w:style>
  <w:style w:type="paragraph" w:styleId="Opisslike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Odlomakpopisa">
    <w:name w:val="List Paragraph"/>
    <w:basedOn w:val="Standard"/>
    <w:pPr>
      <w:widowControl w:val="0"/>
      <w:ind w:left="156"/>
    </w:pPr>
    <w:rPr>
      <w:sz w:val="22"/>
      <w:szCs w:val="22"/>
      <w:lang w:eastAsia="en-US"/>
    </w:rPr>
  </w:style>
  <w:style w:type="character" w:customStyle="1" w:styleId="Internetlink">
    <w:name w:val="Internet link"/>
    <w:basedOn w:val="Zadanifontodlomka"/>
    <w:rPr>
      <w:color w:val="0563C1"/>
      <w:u w:val="single"/>
    </w:rPr>
  </w:style>
  <w:style w:type="character" w:styleId="Nerijeenospominjanje">
    <w:name w:val="Unresolved Mention"/>
    <w:basedOn w:val="Zadanifontodlomka"/>
    <w:rPr>
      <w:color w:val="605E5C"/>
      <w:shd w:val="clear" w:color="auto" w:fill="E1DFDD"/>
    </w:rPr>
  </w:style>
  <w:style w:type="character" w:customStyle="1" w:styleId="ListLabel1">
    <w:name w:val="ListLabel 1"/>
    <w:rPr>
      <w:rFonts w:ascii="Calibri" w:eastAsia="Times New Roman" w:hAnsi="Calibri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</w:style>
  <w:style w:type="character" w:customStyle="1" w:styleId="ListLabel4">
    <w:name w:val="ListLabel 4"/>
    <w:rPr>
      <w:rFonts w:ascii="Calibri" w:eastAsia="Calibri" w:hAnsi="Calibri" w:cs="Calibri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</w:style>
  <w:style w:type="character" w:customStyle="1" w:styleId="ListLabel7">
    <w:name w:val="ListLabel 7"/>
    <w:rPr>
      <w:rFonts w:ascii="Calibri" w:eastAsia="Calibri" w:hAnsi="Calibri" w:cs="Calibri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</w:style>
  <w:style w:type="character" w:customStyle="1" w:styleId="ListLabel10">
    <w:name w:val="ListLabel 10"/>
    <w:rPr>
      <w:rFonts w:ascii="Calibri" w:eastAsia="Calibri" w:hAnsi="Calibri" w:cs="Calibri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</w:style>
  <w:style w:type="character" w:customStyle="1" w:styleId="ListLabel13">
    <w:name w:val="ListLabel 13"/>
    <w:rPr>
      <w:rFonts w:ascii="Calibri" w:eastAsia="Calibri" w:hAnsi="Calibri" w:cs="Calibri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</w:style>
  <w:style w:type="character" w:customStyle="1" w:styleId="ListLabel16">
    <w:name w:val="ListLabel 16"/>
    <w:rPr>
      <w:rFonts w:ascii="Calibri" w:eastAsia="Calibri" w:hAnsi="Calibri" w:cs="Calibri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</w:style>
  <w:style w:type="character" w:customStyle="1" w:styleId="ListLabel19">
    <w:name w:val="ListLabel 19"/>
  </w:style>
  <w:style w:type="character" w:customStyle="1" w:styleId="ListLabel20">
    <w:name w:val="ListLabel 20"/>
  </w:style>
  <w:style w:type="character" w:customStyle="1" w:styleId="ListLabel21">
    <w:name w:val="ListLabel 21"/>
  </w:style>
  <w:style w:type="character" w:customStyle="1" w:styleId="ListLabel22">
    <w:name w:val="ListLabel 22"/>
  </w:style>
  <w:style w:type="character" w:customStyle="1" w:styleId="ListLabel23">
    <w:name w:val="ListLabel 23"/>
  </w:style>
  <w:style w:type="character" w:customStyle="1" w:styleId="ListLabel24">
    <w:name w:val="ListLabel 24"/>
  </w:style>
  <w:style w:type="character" w:customStyle="1" w:styleId="ListLabel25">
    <w:name w:val="ListLabel 25"/>
  </w:style>
  <w:style w:type="character" w:customStyle="1" w:styleId="ListLabel26">
    <w:name w:val="ListLabel 26"/>
  </w:style>
  <w:style w:type="character" w:customStyle="1" w:styleId="ListLabel27">
    <w:name w:val="ListLabel 27"/>
  </w:style>
  <w:style w:type="character" w:customStyle="1" w:styleId="ListLabel28">
    <w:name w:val="ListLabel 28"/>
    <w:rPr>
      <w:rFonts w:ascii="Calibri" w:eastAsia="Times New Roman" w:hAnsi="Calibri" w:cs="Times New Roman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</w:style>
  <w:style w:type="character" w:customStyle="1" w:styleId="ListLabel31">
    <w:name w:val="ListLabel 31"/>
    <w:rPr>
      <w:rFonts w:ascii="Calibri" w:eastAsia="Calibri" w:hAnsi="Calibri" w:cs="Calibri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</w:style>
  <w:style w:type="character" w:customStyle="1" w:styleId="ListLabel34">
    <w:name w:val="ListLabel 34"/>
    <w:rPr>
      <w:rFonts w:ascii="Calibri" w:eastAsia="Calibri" w:hAnsi="Calibri" w:cs="Calibri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</w:style>
  <w:style w:type="character" w:customStyle="1" w:styleId="ListLabel37">
    <w:name w:val="ListLabel 37"/>
    <w:rPr>
      <w:rFonts w:ascii="Calibri" w:eastAsia="Times New Roman" w:hAnsi="Calibri" w:cs="Times New Roman"/>
    </w:rPr>
  </w:style>
  <w:style w:type="character" w:customStyle="1" w:styleId="ListLabel38">
    <w:name w:val="ListLabel 38"/>
    <w:rPr>
      <w:rFonts w:cs="Courier New"/>
    </w:rPr>
  </w:style>
  <w:style w:type="character" w:customStyle="1" w:styleId="ListLabel39">
    <w:name w:val="ListLabel 39"/>
  </w:style>
  <w:style w:type="character" w:customStyle="1" w:styleId="ListLabel40">
    <w:name w:val="ListLabel 40"/>
    <w:rPr>
      <w:rFonts w:ascii="Calibri" w:eastAsia="Calibri" w:hAnsi="Calibri" w:cs="Calibri"/>
    </w:rPr>
  </w:style>
  <w:style w:type="character" w:customStyle="1" w:styleId="ListLabel41">
    <w:name w:val="ListLabel 41"/>
    <w:rPr>
      <w:rFonts w:cs="Courier New"/>
    </w:rPr>
  </w:style>
  <w:style w:type="character" w:customStyle="1" w:styleId="ListLabel42">
    <w:name w:val="ListLabel 42"/>
  </w:style>
  <w:style w:type="character" w:customStyle="1" w:styleId="ListLabel43">
    <w:name w:val="ListLabel 43"/>
    <w:rPr>
      <w:rFonts w:ascii="Calibri" w:eastAsia="Calibri" w:hAnsi="Calibri" w:cs="Calibri"/>
    </w:rPr>
  </w:style>
  <w:style w:type="character" w:customStyle="1" w:styleId="ListLabel44">
    <w:name w:val="ListLabel 44"/>
    <w:rPr>
      <w:rFonts w:cs="Courier New"/>
    </w:rPr>
  </w:style>
  <w:style w:type="character" w:customStyle="1" w:styleId="ListLabel45">
    <w:name w:val="ListLabel 45"/>
  </w:style>
  <w:style w:type="character" w:customStyle="1" w:styleId="ListLabel46">
    <w:name w:val="ListLabel 46"/>
  </w:style>
  <w:style w:type="character" w:customStyle="1" w:styleId="ListLabel47">
    <w:name w:val="ListLabel 47"/>
  </w:style>
  <w:style w:type="character" w:customStyle="1" w:styleId="ListLabel48">
    <w:name w:val="ListLabel 48"/>
  </w:style>
  <w:style w:type="character" w:customStyle="1" w:styleId="ListLabel49">
    <w:name w:val="ListLabel 49"/>
  </w:style>
  <w:style w:type="character" w:customStyle="1" w:styleId="ListLabel50">
    <w:name w:val="ListLabel 50"/>
  </w:style>
  <w:style w:type="character" w:customStyle="1" w:styleId="ListLabel51">
    <w:name w:val="ListLabel 51"/>
  </w:style>
  <w:style w:type="character" w:customStyle="1" w:styleId="ListLabel52">
    <w:name w:val="ListLabel 52"/>
  </w:style>
  <w:style w:type="character" w:customStyle="1" w:styleId="ListLabel53">
    <w:name w:val="ListLabel 53"/>
  </w:style>
  <w:style w:type="character" w:customStyle="1" w:styleId="ListLabel54">
    <w:name w:val="ListLabel 54"/>
  </w:style>
  <w:style w:type="character" w:customStyle="1" w:styleId="ListLabel55">
    <w:name w:val="ListLabel 55"/>
    <w:rPr>
      <w:sz w:val="20"/>
      <w:szCs w:val="20"/>
    </w:rPr>
  </w:style>
  <w:style w:type="character" w:customStyle="1" w:styleId="ListLabel56">
    <w:name w:val="ListLabel 56"/>
    <w:rPr>
      <w:i/>
      <w:sz w:val="20"/>
      <w:szCs w:val="20"/>
    </w:rPr>
  </w:style>
  <w:style w:type="numbering" w:customStyle="1" w:styleId="NoList">
    <w:name w:val="No List"/>
    <w:basedOn w:val="Bezpopisa"/>
    <w:pPr>
      <w:numPr>
        <w:numId w:val="1"/>
      </w:numPr>
    </w:pPr>
  </w:style>
  <w:style w:type="numbering" w:customStyle="1" w:styleId="WWNum1">
    <w:name w:val="WWNum1"/>
    <w:basedOn w:val="Bezpopisa"/>
    <w:pPr>
      <w:numPr>
        <w:numId w:val="2"/>
      </w:numPr>
    </w:pPr>
  </w:style>
  <w:style w:type="numbering" w:customStyle="1" w:styleId="WWNum2">
    <w:name w:val="WWNum2"/>
    <w:basedOn w:val="Bezpopisa"/>
    <w:pPr>
      <w:numPr>
        <w:numId w:val="3"/>
      </w:numPr>
    </w:pPr>
  </w:style>
  <w:style w:type="numbering" w:customStyle="1" w:styleId="WWNum3">
    <w:name w:val="WWNum3"/>
    <w:basedOn w:val="Bezpopisa"/>
    <w:pPr>
      <w:numPr>
        <w:numId w:val="4"/>
      </w:numPr>
    </w:pPr>
  </w:style>
  <w:style w:type="numbering" w:customStyle="1" w:styleId="WWNum4">
    <w:name w:val="WWNum4"/>
    <w:basedOn w:val="Bezpopisa"/>
    <w:pPr>
      <w:numPr>
        <w:numId w:val="5"/>
      </w:numPr>
    </w:pPr>
  </w:style>
  <w:style w:type="numbering" w:customStyle="1" w:styleId="WWNum5">
    <w:name w:val="WWNum5"/>
    <w:basedOn w:val="Bezpopisa"/>
    <w:pPr>
      <w:numPr>
        <w:numId w:val="6"/>
      </w:numPr>
    </w:pPr>
  </w:style>
  <w:style w:type="numbering" w:customStyle="1" w:styleId="WWNum6">
    <w:name w:val="WWNum6"/>
    <w:basedOn w:val="Bezpopisa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n.hr/clanci/sluzbeno/1997/0427.htm" TargetMode="External"/><Relationship Id="rId13" Type="http://schemas.openxmlformats.org/officeDocument/2006/relationships/hyperlink" Target="https://www.zakon.hr/cms.htm?id=40863" TargetMode="External"/><Relationship Id="rId18" Type="http://schemas.openxmlformats.org/officeDocument/2006/relationships/hyperlink" Target="http://www.nn.hr/clanci/sluzbeno/1993/0468.ht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nn.hr/clanci/sluzbeno/1993/1548.htm" TargetMode="External"/><Relationship Id="rId12" Type="http://schemas.openxmlformats.org/officeDocument/2006/relationships/hyperlink" Target="https://narodne-novine.nn.hr/clanci/sluzbeni/full/2022_12_151_2344.html" TargetMode="External"/><Relationship Id="rId17" Type="http://schemas.openxmlformats.org/officeDocument/2006/relationships/hyperlink" Target="http://www.nn.hr/clanci/sluzbeno/1990/0866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zakon.hr/cms.htm?id=40865" TargetMode="External"/><Relationship Id="rId20" Type="http://schemas.openxmlformats.org/officeDocument/2006/relationships/hyperlink" Target="https://makarska.hr/strateski-dokument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arodne-novine.nn.hr/clanci/sluzbeni/full/2019_12_127_2562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zakon.hr/cms.htm?id=40853" TargetMode="External"/><Relationship Id="rId10" Type="http://schemas.openxmlformats.org/officeDocument/2006/relationships/hyperlink" Target="http://www.nn.hr/clanci/sluzbeno/2008/1142.htm" TargetMode="External"/><Relationship Id="rId19" Type="http://schemas.openxmlformats.org/officeDocument/2006/relationships/hyperlink" Target="http://narodne-novine.nn.hr/clanci/sluzbeni/2009_03_38_847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n.hr/clanci/sluzbeno/1999/0924.htm" TargetMode="External"/><Relationship Id="rId14" Type="http://schemas.openxmlformats.org/officeDocument/2006/relationships/hyperlink" Target="https://www.zakon.hr/cms.htm?id=40865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1517</Words>
  <Characters>8651</Characters>
  <Application>Microsoft Office Word</Application>
  <DocSecurity>0</DocSecurity>
  <Lines>72</Lines>
  <Paragraphs>20</Paragraphs>
  <ScaleCrop>false</ScaleCrop>
  <Company/>
  <LinksUpToDate>false</LinksUpToDate>
  <CharactersWithSpaces>10148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Kraljević Radalj</dc:creator>
  <cp:lastModifiedBy>Gradski Sportski Centar</cp:lastModifiedBy>
  <cp:revision>2</cp:revision>
  <cp:lastPrinted>2026-03-25T12:30:00Z</cp:lastPrinted>
  <dcterms:created xsi:type="dcterms:W3CDTF">2026-03-30T08:32:00Z</dcterms:created>
  <dcterms:modified xsi:type="dcterms:W3CDTF">2026-03-30T08:32:00Z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</Properties>
</file>